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jc w:val="center"/>
      </w:pPr>
      <w:r>
        <w:rPr>
          <w:rFonts w:ascii="Microsoft YaHei" w:cs="Microsoft YaHei" w:eastAsia="Microsoft YaHei" w:hAnsi="Microsoft YaHei"/>
          <w:b/>
          <w:bCs/>
          <w:color w:val="1E3A5F"/>
          <w:sz w:val="72"/>
          <w:szCs w:val="72"/>
        </w:rPr>
        <w:t xml:space="preserve">幼儿阅读教学服务平台</w:t>
      </w:r>
    </w:p>
    <w:p>
      <w:pPr>
        <w:spacing w:before="400"/>
      </w:pPr>
    </w:p>
    <w:p>
      <w:pPr>
        <w:jc w:val="center"/>
      </w:pPr>
      <w:r>
        <w:rPr>
          <w:rFonts w:ascii="Microsoft YaHei" w:cs="Microsoft YaHei" w:eastAsia="Microsoft YaHei" w:hAnsi="Microsoft YaHei"/>
          <w:color w:val="3E7ABF"/>
          <w:sz w:val="40"/>
          <w:szCs w:val="40"/>
        </w:rPr>
        <w:t xml:space="preserve">产品介绍与功能说明</w:t>
      </w:r>
    </w:p>
    <w:p>
      <w:pPr>
        <w:spacing w:before="1500"/>
      </w:pPr>
    </w:p>
    <w:p>
      <w:pPr>
        <w:jc w:val="center"/>
      </w:pPr>
      <w:r>
        <w:rPr>
          <w:color w:val="666666"/>
          <w:sz w:val="28"/>
          <w:szCs w:val="28"/>
        </w:rPr>
        <w:t xml:space="preserve">版本：v1.0</w:t>
      </w:r>
    </w:p>
    <w:p>
      <w:pPr>
        <w:spacing w:before="100"/>
        <w:jc w:val="center"/>
      </w:pPr>
      <w:r>
        <w:rPr>
          <w:color w:val="666666"/>
          <w:sz w:val="28"/>
          <w:szCs w:val="28"/>
        </w:rPr>
        <w:t xml:space="preserve">日期：2026年2月24日</w:t>
      </w:r>
    </w:p>
    <w:p>
      <w:r>
        <w:br w:type="page"/>
      </w:r>
    </w:p>
    <w:p>
      <w:pPr>
        <w:pStyle w:val="Heading1"/>
      </w:pPr>
      <w:r>
        <w:t xml:space="preserve">目录</w:t>
      </w:r>
    </w:p>
    <w:sdt>
      <w:sdtPr>
        <w:alias w:val="目录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1"/>
      </w:pPr>
      <w:r>
        <w:t xml:space="preserve">第一章 产品概述</w:t>
      </w:r>
    </w:p>
    <w:p>
      <w:pPr>
        <w:pStyle w:val="Heading2"/>
      </w:pPr>
      <w:r>
        <w:t xml:space="preserve">1.1 产品定位</w:t>
      </w:r>
    </w:p>
    <w:p>
      <w:pPr>
        <w:spacing w:after="200"/>
      </w:pPr>
      <w:r>
        <w:t xml:space="preserve">幼儿阅读教学服务平台是一款面向幼儿园的B2B2C综合性阅读教学管理系统，致力于为幼儿园、教师和家长提供全方位的绘本阅读教学服务。平台采用多端协同架构，打通超管、学校、教师、家长四方角色，实现从课程创作、教学管理到家校互动的完整闭环。</w:t>
      </w:r>
    </w:p>
    <w:p>
      <w:pPr>
        <w:pStyle w:val="Heading2"/>
      </w:pPr>
      <w:r>
        <w:t xml:space="preserve">1.2 目标用户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用户角色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使用场景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核心需求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平台超管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运营管理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课程内容管理、租户服务、平台运营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学校管理员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园所管理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教师学生管理、课程授权、数据统计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教师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教学实施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课程备课、课堂教学、任务布置、成长记录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家长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家校共育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查看任务、提交反馈、了解孩子成长</w:t>
            </w:r>
          </w:p>
        </w:tc>
      </w:tr>
    </w:tbl>
    <w:p>
      <w:pPr>
        <w:pStyle w:val="Heading2"/>
        <w:spacing w:before="300"/>
      </w:pPr>
      <w:r>
        <w:t xml:space="preserve">1.3 核心价值</w:t>
      </w:r>
    </w:p>
    <w:p>
      <w:pPr>
        <w:pStyle w:val="ListParagraph"/>
        <w:numPr>
          <w:ilvl w:val="0"/>
          <w:numId w:val="2"/>
        </w:numPr>
      </w:pPr>
      <w:r>
        <w:t xml:space="preserve">标准化教学：专业绘本课程包，标准化教学流程</w:t>
      </w:r>
    </w:p>
    <w:p>
      <w:pPr>
        <w:pStyle w:val="ListParagraph"/>
        <w:numPr>
          <w:ilvl w:val="0"/>
          <w:numId w:val="2"/>
        </w:numPr>
      </w:pPr>
      <w:r>
        <w:t xml:space="preserve">效率提升：备课上课一体化，教学管理智能化</w:t>
      </w:r>
    </w:p>
    <w:p>
      <w:pPr>
        <w:pStyle w:val="ListParagraph"/>
        <w:numPr>
          <w:ilvl w:val="0"/>
          <w:numId w:val="2"/>
        </w:numPr>
      </w:pPr>
      <w:r>
        <w:t xml:space="preserve">家校联动：任务布置与反馈，家校共育更紧密</w:t>
      </w:r>
    </w:p>
    <w:p>
      <w:pPr>
        <w:pStyle w:val="ListParagraph"/>
        <w:numPr>
          <w:ilvl w:val="0"/>
          <w:numId w:val="2"/>
        </w:numPr>
      </w:pPr>
      <w:r>
        <w:t xml:space="preserve">成长可视：多维度数据记录，成长轨迹清晰可见</w:t>
      </w:r>
    </w:p>
    <w:p>
      <w:pPr>
        <w:pStyle w:val="ListParagraph"/>
        <w:numPr>
          <w:ilvl w:val="0"/>
          <w:numId w:val="2"/>
        </w:numPr>
      </w:pPr>
      <w:r>
        <w:t xml:space="preserve">灵活管理：多租户架构，满足不同规模园所需求</w:t>
      </w:r>
    </w:p>
    <w:p>
      <w:pPr>
        <w:pStyle w:val="Heading2"/>
        <w:spacing w:before="300"/>
      </w:pPr>
      <w:r>
        <w:t xml:space="preserve">1.4 登录界面</w:t>
      </w:r>
    </w:p>
    <w:p>
      <w:pPr>
        <w:spacing w:after="100" w:before="200"/>
        <w:jc w:val="center"/>
      </w:pPr>
      <w:r>
        <w:drawing>
          <wp:inline distT="0" distB="0" distL="0" distR="0">
            <wp:extent cx="4762500" cy="3810000"/>
            <wp:effectExtent t="0" r="0" b="0" l="0"/>
            <wp:docPr id="1" name="图1-1 系统登录界面 - 支持四种角色切换" descr="图1-1 系统登录界面 - 支持四种角色切换" title="图1-1 系统登录界面 - 支持四种角色切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9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图1-1 系统登录界面 - 支持四种角色切换</w:t>
      </w:r>
    </w:p>
    <w:p>
      <w:r>
        <w:br w:type="page"/>
      </w:r>
    </w:p>
    <w:p>
      <w:pPr>
        <w:pStyle w:val="Heading1"/>
      </w:pPr>
      <w:r>
        <w:t xml:space="preserve">第二章 技术架构</w:t>
      </w:r>
    </w:p>
    <w:p>
      <w:pPr>
        <w:pStyle w:val="Heading2"/>
      </w:pPr>
      <w:r>
        <w:t xml:space="preserve">2.1 系统架构</w:t>
      </w:r>
    </w:p>
    <w:p>
      <w:pPr>
        <w:spacing w:after="200"/>
      </w:pPr>
      <w:r>
        <w:t xml:space="preserve">系统采用前后端分离架构，前端使用Vue 3框架，后端使用NestJS框架，通过JWT进行身份认证。数据层使用Prisma ORM，支持SQLite（开发）和PostgreSQL（生产）数据库。</w:t>
      </w:r>
    </w:p>
    <w:p>
      <w:pPr>
        <w:pStyle w:val="Heading2"/>
      </w:pPr>
      <w:r>
        <w:t xml:space="preserve">2.2 技术选型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层级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技术栈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说明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前端框架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Vue 3 + Vite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现代化前端开发框架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UI组件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Ant Design Vue 4.x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企业级UI组件库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状态管理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Pinia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Vue官方状态管理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后端框架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NestJS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企业级Node.js框架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ORM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Prisma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现代化数据库工具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数据库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SQLite / PostgreSQL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开发/生产数据库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认证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JWT + Passport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安全认证方案</w:t>
            </w:r>
          </w:p>
        </w:tc>
      </w:tr>
    </w:tbl>
    <w:p>
      <w:r>
        <w:br w:type="page"/>
      </w:r>
    </w:p>
    <w:p>
      <w:pPr>
        <w:pStyle w:val="Heading1"/>
      </w:pPr>
      <w:r>
        <w:t xml:space="preserve">第三章 超管端功能</w:t>
      </w:r>
    </w:p>
    <w:p>
      <w:pPr>
        <w:spacing w:after="200"/>
      </w:pPr>
      <w:r>
        <w:t xml:space="preserve">超管端是平台的运营管理中心，负责课程内容生产、租户服务和平台运营。</w:t>
      </w:r>
    </w:p>
    <w:p>
      <w:pPr>
        <w:pStyle w:val="Heading2"/>
      </w:pPr>
      <w:r>
        <w:t xml:space="preserve">3.1 数据看板</w:t>
      </w:r>
    </w:p>
    <w:p>
      <w:pPr>
        <w:spacing w:after="100"/>
      </w:pPr>
      <w:r>
        <w:t xml:space="preserve">提供平台整体运营数据的可视化展示，包括核心指标、趋势图表和快捷入口。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3-1 超管端数据看板 - 平台运营数据一目了然" descr="图3-1 超管端数据看板 - 平台运营数据一目了然" title="图3-1 超管端数据看板 - 平台运营数据一目了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9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图3-1 超管端数据看板 - 平台运营数据一目了然</w:t>
      </w:r>
    </w:p>
    <w:p>
      <w:pPr>
        <w:pStyle w:val="Heading2"/>
      </w:pPr>
      <w:r>
        <w:t xml:space="preserve">3.2 课程包管理</w:t>
      </w:r>
    </w:p>
    <w:p>
      <w:pPr>
        <w:spacing w:after="100"/>
      </w:pPr>
      <w:r>
        <w:t xml:space="preserve">完整的课程内容生产与发布流程，支持基础信息、资源上传、教学环节、逐页脚本、延伸活动等完整内容。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3-2 课程包列表 - 管理所有课程内容" descr="图3-2 课程包列表 - 管理所有课程内容" title="图3-2 课程包列表 - 管理所有课程内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0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图3-2 课程包列表 - 管理所有课程内容</w:t>
      </w:r>
    </w:p>
    <w:p>
      <w:pPr>
        <w:spacing w:after="100" w:before="200"/>
        <w:jc w:val="center"/>
      </w:pPr>
      <w:r>
        <w:drawing>
          <wp:inline distT="0" distB="0" distL="0" distR="0">
            <wp:extent cx="4762500" cy="5715000"/>
            <wp:effectExtent t="0" r="0" b="0" l="0"/>
            <wp:docPr id="1" name="图3-3 课程详情 - 完整的教学设计展示" descr="图3-3 课程详情 - 完整的教学设计展示" title="图3-3 课程详情 - 完整的教学设计展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1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图3-3 课程详情 - 完整的教学设计展示</w:t>
      </w:r>
    </w:p>
    <w:p>
      <w:pPr>
        <w:pStyle w:val="Heading2"/>
      </w:pPr>
      <w:r>
        <w:t xml:space="preserve">3.3 租户管理</w:t>
      </w:r>
    </w:p>
    <w:p>
      <w:pPr>
        <w:spacing w:after="100"/>
      </w:pPr>
      <w:r>
        <w:t xml:space="preserve">多租户服务的核心管理功能，包括租户列表、套餐配置、课程授权、服务管理等。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3-4 租户管理 - 管理所有签约园所" descr="图3-4 租户管理 - 管理所有签约园所" title="图3-4 租户管理 - 管理所有签约园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2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图3-4 租户管理 - 管理所有签约园所</w:t>
      </w:r>
    </w:p>
    <w:p>
      <w:r>
        <w:br w:type="page"/>
      </w:r>
    </w:p>
    <w:p>
      <w:pPr>
        <w:pStyle w:val="Heading1"/>
      </w:pPr>
      <w:r>
        <w:t xml:space="preserve">第四章 学校端功能</w:t>
      </w:r>
    </w:p>
    <w:p>
      <w:pPr>
        <w:spacing w:after="200"/>
      </w:pPr>
      <w:r>
        <w:t xml:space="preserve">学校端是园所管理员的管理后台，负责本园的教师、学生、班级和教学管理。</w:t>
      </w:r>
    </w:p>
    <w:p>
      <w:pPr>
        <w:pStyle w:val="Heading2"/>
      </w:pPr>
      <w:r>
        <w:t xml:space="preserve">4.1 数据概览</w:t>
      </w:r>
    </w:p>
    <w:p>
      <w:pPr>
        <w:spacing w:after="100"/>
      </w:pPr>
      <w:r>
        <w:t xml:space="preserve">园所运营数据一目了然，包括人员统计、教学统计和图表展示。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4-1 学校端数据概览 - 园所运营数据统计" descr="图4-1 学校端数据概览 - 园所运营数据统计" title="图4-1 学校端数据概览 - 园所运营数据统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3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图4-1 学校端数据概览 - 园所运营数据统计</w:t>
      </w:r>
    </w:p>
    <w:p>
      <w:pPr>
        <w:pStyle w:val="Heading2"/>
      </w:pPr>
      <w:r>
        <w:t xml:space="preserve">4.2 人员管理</w:t>
      </w:r>
    </w:p>
    <w:p>
      <w:pPr>
        <w:spacing w:after="100"/>
      </w:pPr>
      <w:r>
        <w:t xml:space="preserve">支持教师和学生的增删改查、批量导入、调班等功能。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4-2 教师管理 - 管理本园教师信息" descr="图4-2 教师管理 - 管理本园教师信息" title="图4-2 教师管理 - 管理本园教师信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图4-2 教师管理 - 管理本园教师信息</w:t>
      </w:r>
    </w:p>
    <w:p>
      <w:pPr>
        <w:pStyle w:val="Heading2"/>
      </w:pPr>
      <w:r>
        <w:t xml:space="preserve">4.3 课程排期</w:t>
      </w:r>
    </w:p>
    <w:p>
      <w:pPr>
        <w:spacing w:after="100"/>
      </w:pPr>
      <w:r>
        <w:t xml:space="preserve">日历视图展示排课情况，支持创建、编辑、删除排课。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4-3 课程排期 - 日历视图管理排课" descr="图4-3 课程排期 - 日历视图管理排课" title="图4-3 课程排期 - 日历视图管理排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图4-3 课程排期 - 日历视图管理排课</w:t>
      </w:r>
    </w:p>
    <w:p>
      <w:r>
        <w:br w:type="page"/>
      </w:r>
    </w:p>
    <w:p>
      <w:pPr>
        <w:pStyle w:val="Heading1"/>
      </w:pPr>
      <w:r>
        <w:t xml:space="preserve">第五章 教师端功能</w:t>
      </w:r>
    </w:p>
    <w:p>
      <w:pPr>
        <w:spacing w:after="200"/>
      </w:pPr>
      <w:r>
        <w:t xml:space="preserve">教师端是教师日常教学的核心工具，覆盖备课、上课、课后全流程。</w:t>
      </w:r>
    </w:p>
    <w:p>
      <w:pPr>
        <w:pStyle w:val="Heading2"/>
      </w:pPr>
      <w:r>
        <w:t xml:space="preserve">5.1 课程中心</w:t>
      </w:r>
    </w:p>
    <w:p>
      <w:pPr>
        <w:spacing w:after="100"/>
      </w:pPr>
      <w:r>
        <w:t xml:space="preserve">浏览和使用已授权的课程，支持年级筛选、领域筛选、关键词搜索。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5-1 课程中心 - 浏览可用课程" descr="图5-1 课程中心 - 浏览可用课程" title="图5-1 课程中心 - 浏览可用课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图5-1 课程中心 - 浏览可用课程</w:t>
      </w:r>
    </w:p>
    <w:p>
      <w:pPr>
        <w:pStyle w:val="Heading2"/>
      </w:pPr>
      <w:r>
        <w:t xml:space="preserve">5.2 备课模式</w:t>
      </w:r>
    </w:p>
    <w:p>
      <w:pPr>
        <w:spacing w:after="100"/>
      </w:pPr>
      <w:r>
        <w:t xml:space="preserve">课前准备工作，包括教学流程、教师讲稿、逐页脚本、备课笔记、教学材料等。</w:t>
      </w:r>
    </w:p>
    <w:p>
      <w:pPr>
        <w:spacing w:after="100" w:before="200"/>
        <w:jc w:val="center"/>
      </w:pPr>
      <w:r>
        <w:drawing>
          <wp:inline distT="0" distB="0" distL="0" distR="0">
            <wp:extent cx="4762500" cy="4762500"/>
            <wp:effectExtent t="0" r="0" b="0" l="0"/>
            <wp:docPr id="1" name="图5-2 备课模式 - 完整的备课支持" descr="图5-2 备课模式 - 完整的备课支持" title="图5-2 备课模式 - 完整的备课支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图5-2 备课模式 - 完整的备课支持</w:t>
      </w:r>
    </w:p>
    <w:p>
      <w:pPr>
        <w:pStyle w:val="Heading2"/>
      </w:pPr>
      <w:r>
        <w:t xml:space="preserve">5.3 上课记录</w:t>
      </w:r>
    </w:p>
    <w:p>
      <w:pPr>
        <w:spacing w:after="100"/>
      </w:pPr>
      <w:r>
        <w:t xml:space="preserve">历史授课记录管理，支持状态筛选、日期筛选、查看详情。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5-3 上课记录 - 授课历史管理" descr="图5-3 上课记录 - 授课历史管理" title="图5-3 上课记录 - 授课历史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图5-3 上课记录 - 授课历史管理</w:t>
      </w:r>
    </w:p>
    <w:p>
      <w:r>
        <w:br w:type="page"/>
      </w:r>
    </w:p>
    <w:p>
      <w:pPr>
        <w:pStyle w:val="Heading1"/>
      </w:pPr>
      <w:r>
        <w:t xml:space="preserve">第六章 家长端功能</w:t>
      </w:r>
    </w:p>
    <w:p>
      <w:pPr>
        <w:spacing w:after="200"/>
      </w:pPr>
      <w:r>
        <w:t xml:space="preserve">家长端是家校互动的桥梁，让家长了解并参与孩子的阅读成长。</w:t>
      </w:r>
    </w:p>
    <w:p>
      <w:pPr>
        <w:pStyle w:val="Heading2"/>
      </w:pPr>
      <w:r>
        <w:t xml:space="preserve">6.1 首页</w:t>
      </w:r>
    </w:p>
    <w:p>
      <w:pPr>
        <w:spacing w:after="100"/>
      </w:pPr>
      <w:r>
        <w:t xml:space="preserve">孩子信息概览，包括孩子卡片、最近任务、成长档案等。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6-1 家长端首页 - 孩子信息概览" descr="图6-1 家长端首页 - 孩子信息概览" title="图6-1 家长端首页 - 孩子信息概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图6-1 家长端首页 - 孩子信息概览</w:t>
      </w:r>
    </w:p>
    <w:p>
      <w:pPr>
        <w:pStyle w:val="Heading2"/>
      </w:pPr>
      <w:r>
        <w:t xml:space="preserve">6.2 阅读任务</w:t>
      </w:r>
    </w:p>
    <w:p>
      <w:pPr>
        <w:spacing w:after="100"/>
      </w:pPr>
      <w:r>
        <w:t xml:space="preserve">完成教师布置的任务，支持查看任务详情、提交反馈、查看反馈记录。</w:t>
      </w:r>
    </w:p>
    <w:p>
      <w:pPr>
        <w:spacing w:after="100" w:before="200"/>
        <w:jc w:val="center"/>
      </w:pPr>
      <w:r>
        <w:drawing>
          <wp:inline distT="0" distB="0" distL="0" distR="0">
            <wp:extent cx="5238750" cy="3333750"/>
            <wp:effectExtent t="0" r="0" b="0" l="0"/>
            <wp:docPr id="1" name="图6-2 阅读任务 - 查看并完成阅读任务" descr="图6-2 阅读任务 - 查看并完成阅读任务" title="图6-2 阅读任务 - 查看并完成阅读任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14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300"/>
        <w:jc w:val="center"/>
      </w:pPr>
      <w:r>
        <w:rPr>
          <w:i/>
          <w:iCs/>
          <w:color w:val="666666"/>
          <w:sz w:val="20"/>
          <w:szCs w:val="20"/>
        </w:rPr>
        <w:t xml:space="preserve">图6-2 阅读任务 - 查看并完成阅读任务</w:t>
      </w:r>
    </w:p>
    <w:p>
      <w:r>
        <w:br w:type="page"/>
      </w:r>
    </w:p>
    <w:p>
      <w:pPr>
        <w:pStyle w:val="Heading1"/>
      </w:pPr>
      <w:r>
        <w:t xml:space="preserve">第七章 核心业务流程</w:t>
      </w:r>
    </w:p>
    <w:p>
      <w:pPr>
        <w:pStyle w:val="Heading2"/>
      </w:pPr>
      <w:r>
        <w:t xml:space="preserve">7.1 课程生产流程</w:t>
      </w:r>
    </w:p>
    <w:p>
      <w:pPr>
        <w:spacing w:after="200"/>
      </w:pPr>
      <w:r>
        <w:t xml:space="preserve">超管创建课程 → 填写基础信息 → 上传资源 → 设计教学环节 → 添加延伸活动 → 提交审核 → 审核通过 → 发布课程 → 授权给租户 → 学校/教师使用</w:t>
      </w:r>
    </w:p>
    <w:p>
      <w:pPr>
        <w:pStyle w:val="Heading2"/>
      </w:pPr>
      <w:r>
        <w:t xml:space="preserve">7.2 教学实施流程</w:t>
      </w:r>
    </w:p>
    <w:p>
      <w:pPr>
        <w:spacing w:after="200"/>
      </w:pPr>
      <w:r>
        <w:t xml:space="preserve">教师浏览课程 → 进入备课模式 → 记录备课笔记 → 选择班级 → 开始上课 → 按流程教学 → 课堂评价 → 结束课程 → 填写课堂记录 → 查看上课记录</w:t>
      </w:r>
    </w:p>
    <w:p>
      <w:pPr>
        <w:pStyle w:val="Heading2"/>
      </w:pPr>
      <w:r>
        <w:t xml:space="preserve">7.3 家校互动流程</w:t>
      </w:r>
    </w:p>
    <w:p>
      <w:pPr>
        <w:spacing w:after="200"/>
      </w:pPr>
      <w:r>
        <w:t xml:space="preserve">教师布置任务 → 分配给学生/班级 → 家长查看任务 → 亲子完成阅读 → 家长提交反馈 → 教师查看反馈</w:t>
      </w:r>
    </w:p>
    <w:p>
      <w:pPr>
        <w:pStyle w:val="Heading2"/>
      </w:pPr>
      <w:r>
        <w:t xml:space="preserve">7.4 成长记录流程</w:t>
      </w:r>
    </w:p>
    <w:p>
      <w:pPr>
        <w:spacing w:after="200"/>
      </w:pPr>
      <w:r>
        <w:t xml:space="preserve">教师观察学生 → 创建成长档案 → 选择学生 → 填写内容 → 上传图片 → 保存档案 → 家长查看</w:t>
      </w:r>
    </w:p>
    <w:p>
      <w:r>
        <w:br w:type="page"/>
      </w:r>
    </w:p>
    <w:p>
      <w:pPr>
        <w:pStyle w:val="Heading1"/>
      </w:pPr>
      <w:r>
        <w:t xml:space="preserve">第八章 部署与运维</w:t>
      </w:r>
    </w:p>
    <w:p>
      <w:pPr>
        <w:pStyle w:val="Heading2"/>
      </w:pPr>
      <w:r>
        <w:t xml:space="preserve">8.1 环境配置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rPr>
          <w:tblHeader/>
        </w:trP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环境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前端地址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后端地址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数据库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开发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localhost:5173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localhost:3000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SQLite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生产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域名/CDN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域名/API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PostgreSQL</w:t>
            </w:r>
          </w:p>
        </w:tc>
      </w:tr>
    </w:tbl>
    <w:p>
      <w:pPr>
        <w:pStyle w:val="Heading2"/>
        <w:spacing w:before="300"/>
      </w:pPr>
      <w:r>
        <w:t xml:space="preserve">8.2 启动命令</w:t>
      </w:r>
    </w:p>
    <w:p>
      <w:pPr>
        <w:shd w:fill="F5F5F5" w:val="clear"/>
        <w:spacing w:after="100"/>
      </w:pPr>
      <w:r>
        <w:rPr>
          <w:rFonts w:ascii="Consolas" w:cs="Consolas" w:eastAsia="Consolas" w:hAnsi="Consolas"/>
          <w:sz w:val="22"/>
          <w:szCs w:val="22"/>
        </w:rPr>
        <w:t xml:space="preserve"># 开发环境启动</w:t>
      </w:r>
    </w:p>
    <w:p>
      <w:pPr>
        <w:shd w:fill="F5F5F5" w:val="clear"/>
        <w:spacing w:after="100"/>
      </w:pPr>
      <w:r>
        <w:rPr>
          <w:rFonts w:ascii="Consolas" w:cs="Consolas" w:eastAsia="Consolas" w:hAnsi="Consolas"/>
          <w:sz w:val="22"/>
          <w:szCs w:val="22"/>
        </w:rPr>
        <w:t xml:space="preserve">./start-all.sh</w:t>
      </w:r>
    </w:p>
    <w:p>
      <w:pPr>
        <w:shd w:fill="F5F5F5" w:val="clear"/>
        <w:spacing w:after="100"/>
      </w:pPr>
      <w:r>
        <w:rPr>
          <w:rFonts w:ascii="Consolas" w:cs="Consolas" w:eastAsia="Consolas" w:hAnsi="Consolas"/>
          <w:sz w:val="22"/>
          <w:szCs w:val="22"/>
        </w:rPr>
        <w:t xml:space="preserve"># 停止服务</w:t>
      </w:r>
    </w:p>
    <w:p>
      <w:pPr>
        <w:shd w:fill="F5F5F5" w:val="clear"/>
        <w:spacing w:after="200"/>
      </w:pPr>
      <w:r>
        <w:rPr>
          <w:rFonts w:ascii="Consolas" w:cs="Consolas" w:eastAsia="Consolas" w:hAnsi="Consolas"/>
          <w:sz w:val="22"/>
          <w:szCs w:val="22"/>
        </w:rPr>
        <w:t xml:space="preserve">./stop-all.sh</w:t>
      </w:r>
    </w:p>
    <w:p>
      <w:pPr>
        <w:pStyle w:val="Heading2"/>
      </w:pPr>
      <w:r>
        <w:t xml:space="preserve">8.3 测试账号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角色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账号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  <w:vAlign w:val="center"/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密码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超管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admin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admin123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学校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school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123456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教师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teacher1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123456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家长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parent1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spacing w:after="60" w:before="60"/>
            </w:pPr>
            <w:r>
              <w:rPr>
                <w:sz w:val="22"/>
                <w:szCs w:val="22"/>
              </w:rPr>
              <w:t xml:space="preserve">123456</w:t>
            </w:r>
          </w:p>
        </w:tc>
      </w:tr>
    </w:tbl>
    <w:p>
      <w:pPr>
        <w:spacing w:before="800"/>
      </w:pPr>
    </w:p>
    <w:p>
      <w:pPr>
        <w:jc w:val="center"/>
      </w:pPr>
      <w:r>
        <w:rPr>
          <w:i/>
          <w:iCs/>
          <w:color w:val="888888"/>
          <w:sz w:val="24"/>
          <w:szCs w:val="24"/>
        </w:rPr>
        <w:t xml:space="preserve">— 文档结束 —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sz w:val="20"/>
        <w:szCs w:val="20"/>
      </w:rPr>
      <w:t xml:space="preserve">第 </w:t>
    </w:r>
    <w:r>
      <w:rPr>
        <w:sz w:val="20"/>
        <w:szCs w:val="20"/>
      </w:rPr>
      <w:fldChar w:fldCharType="begin"/>
      <w:instrText xml:space="preserve">PAGE</w:instrText>
      <w:fldChar w:fldCharType="separate"/>
      <w:fldChar w:fldCharType="end"/>
    </w:r>
    <w:r>
      <w:rPr>
        <w:sz w:val="20"/>
        <w:szCs w:val="20"/>
      </w:rPr>
      <w:t xml:space="preserve"> 页 / 共 </w:t>
    </w:r>
    <w:r>
      <w:rPr>
        <w:sz w:val="20"/>
        <w:szCs w:val="20"/>
      </w:rPr>
      <w:fldChar w:fldCharType="begin"/>
      <w:instrText xml:space="preserve">NUMPAGES</w:instrText>
      <w:fldChar w:fldCharType="separate"/>
      <w:fldChar w:fldCharType="end"/>
    </w:r>
    <w:r>
      <w:rPr>
        <w:sz w:val="20"/>
        <w:szCs w:val="20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888888"/>
        <w:sz w:val="20"/>
        <w:szCs w:val="20"/>
      </w:rPr>
      <w:t xml:space="preserve">幼儿阅读教学服务平台 - 产品介绍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YaHei" w:cs="Microsoft YaHei" w:eastAsia="Microsoft YaHei" w:hAnsi="Microsoft YaHei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after="200" w:before="400"/>
      <w:jc w:val="center"/>
    </w:pPr>
    <w:rPr>
      <w:rFonts w:ascii="Microsoft YaHei" w:cs="Microsoft YaHei" w:eastAsia="Microsoft YaHei" w:hAnsi="Microsoft YaHei"/>
      <w:b/>
      <w:bCs/>
      <w:color w:val="1E3A5F"/>
      <w:sz w:val="72"/>
      <w:szCs w:val="72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icrosoft YaHei" w:cs="Microsoft YaHei" w:eastAsia="Microsoft YaHei" w:hAnsi="Microsoft YaHei"/>
      <w:b/>
      <w:bCs/>
      <w:color w:val="1E3A5F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50" w:before="300"/>
      <w:outlineLvl w:val="1"/>
    </w:pPr>
    <w:rPr>
      <w:rFonts w:ascii="Microsoft YaHei" w:cs="Microsoft YaHei" w:eastAsia="Microsoft YaHei" w:hAnsi="Microsoft YaHei"/>
      <w:b/>
      <w:bCs/>
      <w:color w:val="2E5A8F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Microsoft YaHei" w:cs="Microsoft YaHei" w:eastAsia="Microsoft YaHei" w:hAnsi="Microsoft YaHei"/>
      <w:b/>
      <w:bCs/>
      <w:color w:val="3E7AB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018268c4f6d47a638b3a58907c455d6e97366139.png"/><Relationship Id="rId10" Type="http://schemas.openxmlformats.org/officeDocument/2006/relationships/image" Target="media/1441ebde22824aee88759079773947d2d3f3b4d9.png"/><Relationship Id="rId11" Type="http://schemas.openxmlformats.org/officeDocument/2006/relationships/image" Target="media/aacd9d5a113f7a68b852282882b8ee772386675d.png"/><Relationship Id="rId12" Type="http://schemas.openxmlformats.org/officeDocument/2006/relationships/image" Target="media/6a260a93ae8596eb97a3c0582d339057aba0f7b0.png"/><Relationship Id="rId13" Type="http://schemas.openxmlformats.org/officeDocument/2006/relationships/image" Target="media/e898da8c8348441fbf5eeabe950a0c2be83ac6d2.png"/><Relationship Id="rId14" Type="http://schemas.openxmlformats.org/officeDocument/2006/relationships/image" Target="media/43dd121cd5c100c2a71677308e947d19ca34175c.png"/><Relationship Id="rId15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2026-02-24T07:39:54.812Z</dcterms:created>
  <dcterms:modified xsi:type="dcterms:W3CDTF">2026-02-24T07:39:54.813Z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